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莱阳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市住宅小区物业服务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企业考核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办法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9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  <w:t>(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为进一步规范我市物业服务企业服务行为，提升物业服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务水平，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建立住宅小区物业服务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考核评价机制，推动全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物业服务行业健康、有序发展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，根据《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民法典》《物业管理条例》（国务院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379号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）《山东省物业管理条例》《烟台市物业管理办法》《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烟台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普通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住宅物业服务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等级标准和评分标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》等法律法规，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结合我市实际，制定本办法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考核对象为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住宅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专业化物业服务的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物业服务企业考核实行住建部门、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镇街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业主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共同参与的物业服务企业“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位一体”考核机制，评定结果与企业诚信、准入退出、评先选优挂钩。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考核主要从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物业服务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等级、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日常管理、投诉处理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重大工作落实、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红心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物业开展情况等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方面进行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对于考核中发现的问题，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及时下达整改通知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，督促相关物业服务企业限期整改。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成绩实行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百分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物业企业的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最终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成绩为所有服务项目的平均分，服务项目的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成绩为住建部门、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镇街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业主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评价结果按百分制折算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之和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住建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部门占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比4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0%、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镇街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比3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业主占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比3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0%)。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  <w:t>考核成绩由高到低分优秀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、一般、较差三个等级，前10名和后10名分别评定为优秀和较差。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市住建局负责指导全市住宅小区物业服务质量评价工作，负责结果汇总、公示工作；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街道办事处负责指导社区完成辖区内物业服务项目服务质量评价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和组织业主评价工作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，无社区的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镇自行完成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辖区内物业服务项目服务质量评价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和组织业主评价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考核按照下列步骤进行：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(一)每年10月份开始启动考核评价工作，镇街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成立物业服务质量考核指导组，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指导社区在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每个住宅小区各成立一个评价小组，由5-7人组成，成员一般由社区“两委”、小区(网格)党支部和业主代表组成，可邀请人大代表、政协委员参与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并将考核指导组和评价小组人员名单报市住建局。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（二）每年11月底前，住建部门按照考核评价表(附表1)对物业服务项目进行评价；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镇街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指导社区评价小组按照考核评价表(附表2),对辖区内物业服务项目进行评价，并组织业主开展评价工作，业主评价可通过线上与线下相结合的方式进行,每个小区参与评价的业主户数按照300户以下不低于40%，301-500户不低于30%，500户以上不低于20%执行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镇街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组织社区将辖区内物业服务项目和业主评价情况(附表2、3)汇总后，填写考核评价汇总表（附表4），并将附表4报市住建局。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（三）市住建局汇总考核评价结果，12月底前完成综合排名并进行公示。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有下列情形之一的，直接确定为较差企业：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16" w:firstLineChars="200"/>
        <w:textAlignment w:val="baseline"/>
        <w:rPr>
          <w:rFonts w:hint="eastAsia" w:ascii="仿宋_GB2312" w:hAnsi="Arial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shd w:val="clear" w:fill="FFFFFF"/>
          <w:lang w:val="en-US" w:eastAsia="zh-CN" w:bidi="ar"/>
        </w:rPr>
        <w:t>1.</w:t>
      </w:r>
      <w:r>
        <w:rPr>
          <w:rFonts w:ascii="仿宋_GB2312" w:hAnsi="Arial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shd w:val="clear" w:fill="FFFFFF"/>
          <w:lang w:val="en-US" w:eastAsia="zh-CN" w:bidi="ar"/>
        </w:rPr>
        <w:t>物业服务过程中发生重大责任安全事故，造成严重后果的；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  <w:t xml:space="preserve">2.因物业服务企业管理服务不到位，引发重大群体性或越级上访事件，影响社会稳定，造成恶劣社会影响的； 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baseline"/>
        <w:rPr>
          <w:rFonts w:ascii="仿宋_GB2312" w:hAnsi="Arial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  <w:t>3.</w:t>
      </w:r>
      <w:r>
        <w:rPr>
          <w:rFonts w:ascii="仿宋_GB2312" w:hAnsi="Arial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  <w:t>因物业服务企业原因，对业主合法、合理、合规投诉不解决被新闻媒体负面报道，情况属实</w:t>
      </w:r>
      <w:r>
        <w:rPr>
          <w:rFonts w:hint="eastAsia" w:ascii="仿宋_GB2312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  <w:t>，</w:t>
      </w:r>
      <w:r>
        <w:rPr>
          <w:rFonts w:ascii="仿宋_GB2312" w:hAnsi="Arial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  <w:t>造成恶劣社会影响的；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eastAsia" w:ascii="仿宋_GB2312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  <w:t>4.物业服务企业擅自在小区内搭建违章建筑、改变公用设施用途和地点，利用物业公用部位、公用设施设备进行经营，损害业主共同利益的；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  <w:t>5.物业企业拒不到主管部门进行备案登记或拒不纳入烟台市信用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系统的；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6.物业服务合同终止，物业企业不移交物业服务用房、相关设施、物业服务所必需的相关材料等；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eastAsia" w:ascii="仿宋_GB2312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  <w:t>7.其他应将物业服务企业确定为较差的事项。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eastAsia" w:ascii="仿宋_GB2312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  <w:t>第九条</w:t>
      </w:r>
      <w:r>
        <w:rPr>
          <w:rFonts w:hint="eastAsia" w:ascii="仿宋_GB2312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  <w:t xml:space="preserve">  考评结果统计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eastAsia" w:ascii="仿宋_GB2312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  <w:t>物业服务项目年度考评得分＝住建部门考评得分+镇街考评得分+业主考评得分。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default" w:ascii="仿宋_GB2312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snapToGrid w:val="0"/>
          <w:color w:val="auto"/>
          <w:kern w:val="2"/>
          <w:sz w:val="32"/>
          <w:szCs w:val="32"/>
          <w:highlight w:val="none"/>
          <w:shd w:val="clear" w:fill="FFFFFF"/>
          <w:lang w:val="en-US" w:eastAsia="zh-CN" w:bidi="ar"/>
        </w:rPr>
        <w:t>在同一镇街承管一个项目的企业，企业考评得分为承管项目得分；在同一镇街承管多个项目的企业，企业得分为承管项目得分的平均分；在不同镇街承管项目的企业，取各镇街考评得分的平均分。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根据综合评价结果，设立“红黑榜”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自发布之日起一年内有效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排名前十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优秀企业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本年度“红榜”物业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授予本年度莱阳市“十佳”物业企业，优先推荐省、市级的荣誉评选，归集为优良信息并录入烟台市物业信用系统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并在前期物业招投标时给予推荐并适当加分。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（二）排名后十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较差企业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，列为本年度“黑榜”物业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，责令限期整改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拒不整改或整改不到位的，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烟台市物业企业信用系统中信用等级直接确定为C级，取消其下一年度莱阳市物业企业招投标的资格，并降低收费等级。连续两年为较差企业的，纳入诚信“黑名单”，并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视情提请业主委员会或社区居委会召开业主大会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解除物业合同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本办法自202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试行两年。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附件：1.住建部门考核评价表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1600" w:leftChars="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镇街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考核评价表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1600" w:leftChars="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3.业主考核评价表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1600" w:leftChars="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镇街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考核评价汇总表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1600" w:leftChars="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5.住建部门考核评价汇总表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附表1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莱阳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市物业服务质量考核评价表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  <w:t>(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  <w:lang w:val="en-US" w:eastAsia="zh-CN"/>
        </w:rPr>
        <w:t>住建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  <w:t>部门评分，占比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  <w:t>0%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eastAsia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  <w:t>镇    街：                 社    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outlineLvl w:val="9"/>
        <w:rPr>
          <w:rFonts w:hint="eastAsia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  <w:t>小    区：                 物业企业：             考核时间：</w:t>
      </w:r>
    </w:p>
    <w:tbl>
      <w:tblPr>
        <w:tblStyle w:val="10"/>
        <w:tblW w:w="9698" w:type="dxa"/>
        <w:tblInd w:w="-4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1694"/>
        <w:gridCol w:w="3390"/>
        <w:gridCol w:w="315"/>
        <w:gridCol w:w="3255"/>
        <w:gridCol w:w="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序号</w:t>
            </w:r>
          </w:p>
        </w:tc>
        <w:tc>
          <w:tcPr>
            <w:tcW w:w="16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评价类别</w:t>
            </w:r>
          </w:p>
        </w:tc>
        <w:tc>
          <w:tcPr>
            <w:tcW w:w="33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评价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标准</w:t>
            </w:r>
          </w:p>
        </w:tc>
        <w:tc>
          <w:tcPr>
            <w:tcW w:w="3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分值</w:t>
            </w:r>
          </w:p>
        </w:tc>
        <w:tc>
          <w:tcPr>
            <w:tcW w:w="32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评分细则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59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1</w:t>
            </w:r>
          </w:p>
        </w:tc>
        <w:tc>
          <w:tcPr>
            <w:tcW w:w="1694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服务等级达标情况</w:t>
            </w:r>
          </w:p>
        </w:tc>
        <w:tc>
          <w:tcPr>
            <w:tcW w:w="3390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达到相应服务等级要求。</w:t>
            </w:r>
          </w:p>
        </w:tc>
        <w:tc>
          <w:tcPr>
            <w:tcW w:w="315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3255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达到标准得20分，达不到标准不得分。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459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日常管理情况</w:t>
            </w:r>
          </w:p>
        </w:tc>
        <w:tc>
          <w:tcPr>
            <w:tcW w:w="3390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  <w:t>按时、按要求报送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eastAsia="zh-CN"/>
              </w:rPr>
              <w:t>各类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  <w:t>统计报表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  <w:t>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，问题整改及时到位。</w:t>
            </w:r>
          </w:p>
        </w:tc>
        <w:tc>
          <w:tcPr>
            <w:tcW w:w="315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  <w:t>10</w:t>
            </w:r>
          </w:p>
        </w:tc>
        <w:tc>
          <w:tcPr>
            <w:tcW w:w="3255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  <w:t>未按时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  <w:t>按要求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eastAsia="zh-CN"/>
              </w:rPr>
              <w:t>报送、问题整改不及时，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  <w:t>每次扣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  <w:t>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eastAsia="zh-CN"/>
              </w:rPr>
              <w:t>问题整改不彻底的，每次扣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2份，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  <w:t>扣完为止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eastAsia="zh-CN"/>
              </w:rPr>
              <w:t>；对问题拒不整改的，本项不得分。</w:t>
            </w:r>
          </w:p>
        </w:tc>
        <w:tc>
          <w:tcPr>
            <w:tcW w:w="585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6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投诉处理情况</w:t>
            </w:r>
          </w:p>
        </w:tc>
        <w:tc>
          <w:tcPr>
            <w:tcW w:w="33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合理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投诉处理及时、按时反馈，群众满意。</w:t>
            </w:r>
          </w:p>
        </w:tc>
        <w:tc>
          <w:tcPr>
            <w:tcW w:w="3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30</w:t>
            </w:r>
          </w:p>
        </w:tc>
        <w:tc>
          <w:tcPr>
            <w:tcW w:w="32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每发现一次办理、反馈不及时、群众不满意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扣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分，扣完为止。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16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各级检查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情况</w:t>
            </w:r>
          </w:p>
        </w:tc>
        <w:tc>
          <w:tcPr>
            <w:tcW w:w="33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上级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查、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双随机一公开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检查、安全生产检查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等无重大问题。</w:t>
            </w:r>
          </w:p>
        </w:tc>
        <w:tc>
          <w:tcPr>
            <w:tcW w:w="3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32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问题扣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分，扣完为止。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59" w:type="dxa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工作任务落实情况</w:t>
            </w:r>
          </w:p>
        </w:tc>
        <w:tc>
          <w:tcPr>
            <w:tcW w:w="3390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配合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部门统一部署的重大工作，如：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开展文明城市创建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防汛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等各项工作</w:t>
            </w:r>
          </w:p>
        </w:tc>
        <w:tc>
          <w:tcPr>
            <w:tcW w:w="315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3255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工作配合落实</w:t>
            </w:r>
            <w:r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不力的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每次扣2份，扣完为止。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459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红心物业工作开展情况</w:t>
            </w:r>
          </w:p>
        </w:tc>
        <w:tc>
          <w:tcPr>
            <w:tcW w:w="3390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落实每月“经理接待日”、积极开展“我为业主办实事”及小区文化活动等。</w:t>
            </w:r>
          </w:p>
        </w:tc>
        <w:tc>
          <w:tcPr>
            <w:tcW w:w="315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5</w:t>
            </w:r>
          </w:p>
        </w:tc>
        <w:tc>
          <w:tcPr>
            <w:tcW w:w="3255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未完成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项扣5分，扣完为止。</w:t>
            </w:r>
          </w:p>
        </w:tc>
        <w:tc>
          <w:tcPr>
            <w:tcW w:w="585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153" w:type="dxa"/>
            <w:gridSpan w:val="2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加分项</w:t>
            </w:r>
          </w:p>
        </w:tc>
        <w:tc>
          <w:tcPr>
            <w:tcW w:w="69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被国家、省、市评定为示范项目或得到相应表彰奖励的，每次分别加3分、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2分、1分；在省市重大活动组织等工作中做出突出贡献的,经发文通报表扬或表彰奖励的.每件次分别加2分、1分；作为迎检单位，莱阳市级一次加2分，烟台市级一次加3分，省级一次加5分，创建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红心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物业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”示范点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，加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10分，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成立企业党组织，加10分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1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减分项</w:t>
            </w:r>
          </w:p>
        </w:tc>
        <w:tc>
          <w:tcPr>
            <w:tcW w:w="6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当年登“黑榜”1次减5分；凡在重大活动组织等工作中配合不力、敷衍推诿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被省市县通报批评的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每件次分别减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分。减分无上限。</w:t>
            </w:r>
          </w:p>
        </w:tc>
        <w:tc>
          <w:tcPr>
            <w:tcW w:w="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153" w:type="dxa"/>
            <w:gridSpan w:val="2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一票否决</w:t>
            </w:r>
          </w:p>
        </w:tc>
        <w:tc>
          <w:tcPr>
            <w:tcW w:w="69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出现办法中第8条情形之一的，直接确定为较差企业。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54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合计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9698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部门(盖章): 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     负责人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：         经办人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：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outlineLvl w:val="9"/>
        <w:rPr>
          <w:rFonts w:hint="default" w:ascii="楷体" w:hAnsi="楷体" w:eastAsia="楷体" w:cs="楷体"/>
          <w:color w:val="auto"/>
          <w:spacing w:val="-4"/>
          <w:sz w:val="26"/>
          <w:szCs w:val="26"/>
          <w:highlight w:val="none"/>
          <w:lang w:val="en-US" w:eastAsia="zh-CN"/>
        </w:rPr>
        <w:sectPr>
          <w:pgSz w:w="11906" w:h="16838"/>
          <w:pgMar w:top="1701" w:right="1587" w:bottom="1587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附表2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莱阳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市物业服务质量考核评价表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  <w:t>(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  <w:lang w:eastAsia="zh-CN"/>
        </w:rPr>
        <w:t>镇街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  <w:t>评分，占比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  <w:t>0%)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eastAsia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  <w:t>镇    街：                 社    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outlineLvl w:val="9"/>
        <w:rPr>
          <w:rFonts w:hint="eastAsia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  <w:t>小    区：                 物业企业：             考核时间：</w:t>
      </w:r>
    </w:p>
    <w:tbl>
      <w:tblPr>
        <w:tblStyle w:val="10"/>
        <w:tblW w:w="9217" w:type="dxa"/>
        <w:tblInd w:w="-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185"/>
        <w:gridCol w:w="3378"/>
        <w:gridCol w:w="612"/>
        <w:gridCol w:w="3038"/>
        <w:gridCol w:w="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序号</w:t>
            </w:r>
          </w:p>
        </w:tc>
        <w:tc>
          <w:tcPr>
            <w:tcW w:w="1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评价类别</w:t>
            </w:r>
          </w:p>
        </w:tc>
        <w:tc>
          <w:tcPr>
            <w:tcW w:w="3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评价内容</w:t>
            </w:r>
          </w:p>
        </w:tc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分值</w:t>
            </w:r>
          </w:p>
        </w:tc>
        <w:tc>
          <w:tcPr>
            <w:tcW w:w="30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评价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细则</w:t>
            </w:r>
          </w:p>
        </w:tc>
        <w:tc>
          <w:tcPr>
            <w:tcW w:w="4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物业服务情况(根据《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烟台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住宅物业服务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等级和评分办法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》进行实地检查)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5分)</w:t>
            </w:r>
          </w:p>
        </w:tc>
        <w:tc>
          <w:tcPr>
            <w:tcW w:w="33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综合管理服务情况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0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符合要求得1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分，发现一处问题扣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分，扣完为止。</w:t>
            </w:r>
          </w:p>
        </w:tc>
        <w:tc>
          <w:tcPr>
            <w:tcW w:w="4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共用部位及共用设施设备维护情况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0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符合要求得1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分，发现一处问题扣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分，扣完为止。</w:t>
            </w:r>
          </w:p>
        </w:tc>
        <w:tc>
          <w:tcPr>
            <w:tcW w:w="4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公共区域清洁卫生服务情况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0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符合要求得1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分，发现一处问题扣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分，扣完为止。</w:t>
            </w:r>
          </w:p>
        </w:tc>
        <w:tc>
          <w:tcPr>
            <w:tcW w:w="4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公共区域秩序维护服务情况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0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符合要求得1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分，发现一处问题扣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分，扣完为止。</w:t>
            </w:r>
          </w:p>
        </w:tc>
        <w:tc>
          <w:tcPr>
            <w:tcW w:w="4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18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公共区域绿化养护服务情况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0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符合要求得1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分，发现一处问题扣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分，扣完为止。</w:t>
            </w:r>
          </w:p>
        </w:tc>
        <w:tc>
          <w:tcPr>
            <w:tcW w:w="4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8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“红心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物业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工作开展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5分)</w:t>
            </w:r>
          </w:p>
        </w:tc>
        <w:tc>
          <w:tcPr>
            <w:tcW w:w="33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接受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镇区街道党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组织的监督管理，按时完成安排的有关工作。</w:t>
            </w:r>
          </w:p>
        </w:tc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30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符合要求得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5分，不符合视情扣分，扣完为止。</w:t>
            </w:r>
          </w:p>
        </w:tc>
        <w:tc>
          <w:tcPr>
            <w:tcW w:w="4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按要求参加联席会议，落实“三会”制度，积极开展相关工作。</w:t>
            </w:r>
          </w:p>
        </w:tc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30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符合要求得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分，未按要求参加会议或不配合工作的，每次扣1分，扣完为止。</w:t>
            </w:r>
          </w:p>
        </w:tc>
        <w:tc>
          <w:tcPr>
            <w:tcW w:w="4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积极配合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镇区街道党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组织做好物业投诉处理工作。</w:t>
            </w:r>
          </w:p>
        </w:tc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30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符合要求得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分，不按要求配合处理的一次扣2分，扣完为止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8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积极配合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镇区街道党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组织做好业主自治的指导、协调、评价工作;按要求参与业主大会筹备工作。</w:t>
            </w:r>
          </w:p>
        </w:tc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0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符合要求得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分，不按要求参加筹备工作或推诿的，每次扣2分，扣完为止。</w:t>
            </w:r>
          </w:p>
        </w:tc>
        <w:tc>
          <w:tcPr>
            <w:tcW w:w="4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725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加分项</w:t>
            </w:r>
          </w:p>
        </w:tc>
        <w:tc>
          <w:tcPr>
            <w:tcW w:w="7028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配合属地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积极开展文明城市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、卫生城市创建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各项相关工作的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，每项工作加2分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464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减分项</w:t>
            </w:r>
          </w:p>
        </w:tc>
        <w:tc>
          <w:tcPr>
            <w:tcW w:w="702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凡在重大活动组织等工作中配合不力、敷衍推诿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被省市县通报批评的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每件次分别减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分。</w:t>
            </w:r>
          </w:p>
        </w:tc>
        <w:tc>
          <w:tcPr>
            <w:tcW w:w="464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一票否决</w:t>
            </w:r>
          </w:p>
        </w:tc>
        <w:tc>
          <w:tcPr>
            <w:tcW w:w="702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出现办法中第8条情形之一或常年不配合属地政府工作的，直接确定为较差企业。</w:t>
            </w:r>
          </w:p>
        </w:tc>
        <w:tc>
          <w:tcPr>
            <w:tcW w:w="4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0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411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92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镇街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（盖章）：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评价小组组长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: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成员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: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04" w:firstLineChars="200"/>
        <w:jc w:val="both"/>
        <w:textAlignment w:val="baseline"/>
        <w:outlineLvl w:val="9"/>
        <w:rPr>
          <w:rFonts w:hint="default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  <w:sectPr>
          <w:pgSz w:w="11906" w:h="16838"/>
          <w:pgMar w:top="1701" w:right="1587" w:bottom="1587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附表3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莱阳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市物业服务质量考核评价表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  <w:t>(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  <w:lang w:val="en-US" w:eastAsia="zh-CN"/>
        </w:rPr>
        <w:t>业主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  <w:t>评分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  <w:t>占比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  <w:t>0%)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04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  <w:t>镇    街：                 社    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04" w:firstLineChars="200"/>
        <w:jc w:val="both"/>
        <w:textAlignment w:val="baseline"/>
        <w:outlineLvl w:val="9"/>
        <w:rPr>
          <w:rFonts w:hint="default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  <w:t>小    区：                 物业企业：             考核时间：</w:t>
      </w:r>
    </w:p>
    <w:tbl>
      <w:tblPr>
        <w:tblStyle w:val="10"/>
        <w:tblW w:w="8905" w:type="dxa"/>
        <w:tblInd w:w="-1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920"/>
        <w:gridCol w:w="1463"/>
        <w:gridCol w:w="1587"/>
        <w:gridCol w:w="1588"/>
        <w:gridCol w:w="16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35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9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评价内容</w:t>
            </w:r>
          </w:p>
        </w:tc>
        <w:tc>
          <w:tcPr>
            <w:tcW w:w="146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优秀(20分)</w:t>
            </w:r>
          </w:p>
        </w:tc>
        <w:tc>
          <w:tcPr>
            <w:tcW w:w="15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良好(15分)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一般(10分)</w:t>
            </w:r>
          </w:p>
        </w:tc>
        <w:tc>
          <w:tcPr>
            <w:tcW w:w="16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差(5分)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735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9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综合管理服务情况(20分)</w:t>
            </w:r>
          </w:p>
        </w:tc>
        <w:tc>
          <w:tcPr>
            <w:tcW w:w="146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735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9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共用部位及共用设施设备维护情况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(20分)</w:t>
            </w:r>
          </w:p>
        </w:tc>
        <w:tc>
          <w:tcPr>
            <w:tcW w:w="146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735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9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公共区域清洁卫生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服务情况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(20分)</w:t>
            </w:r>
          </w:p>
        </w:tc>
        <w:tc>
          <w:tcPr>
            <w:tcW w:w="146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735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9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公共区域秩序维护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服务情况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(20分)</w:t>
            </w:r>
          </w:p>
        </w:tc>
        <w:tc>
          <w:tcPr>
            <w:tcW w:w="146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735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9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公共区域绿化养护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服务情况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(20分)</w:t>
            </w:r>
          </w:p>
        </w:tc>
        <w:tc>
          <w:tcPr>
            <w:tcW w:w="146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65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总计得分</w:t>
            </w:r>
          </w:p>
        </w:tc>
        <w:tc>
          <w:tcPr>
            <w:tcW w:w="6250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265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业主签字</w:t>
            </w:r>
          </w:p>
        </w:tc>
        <w:tc>
          <w:tcPr>
            <w:tcW w:w="6250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04" w:firstLineChars="200"/>
        <w:jc w:val="both"/>
        <w:textAlignment w:val="baseline"/>
        <w:outlineLvl w:val="9"/>
        <w:rPr>
          <w:rFonts w:hint="default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ordWrap/>
        <w:overflowPunct/>
        <w:topLinePunct/>
        <w:bidi w:val="0"/>
        <w:rPr>
          <w:rFonts w:hint="default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ordWrap/>
        <w:overflowPunct/>
        <w:topLinePunct/>
        <w:bidi w:val="0"/>
        <w:rPr>
          <w:rFonts w:hint="default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ordWrap/>
        <w:overflowPunct/>
        <w:topLinePunct/>
        <w:bidi w:val="0"/>
        <w:rPr>
          <w:rFonts w:hint="default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ordWrap/>
        <w:overflowPunct/>
        <w:topLinePunct/>
        <w:bidi w:val="0"/>
        <w:rPr>
          <w:rFonts w:hint="default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莱阳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市物业服务质量考核评价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  <w:lang w:eastAsia="zh-CN"/>
        </w:rPr>
        <w:t>（镇街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default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  <w:t>镇街（盖章）：                               考核时间：</w:t>
      </w:r>
    </w:p>
    <w:tbl>
      <w:tblPr>
        <w:tblStyle w:val="10"/>
        <w:tblW w:w="8842" w:type="dxa"/>
        <w:tblInd w:w="-1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311"/>
        <w:gridCol w:w="2734"/>
        <w:gridCol w:w="1365"/>
        <w:gridCol w:w="1382"/>
        <w:gridCol w:w="15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9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1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物业企业名称</w:t>
            </w:r>
          </w:p>
        </w:tc>
        <w:tc>
          <w:tcPr>
            <w:tcW w:w="273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服务项目</w:t>
            </w:r>
          </w:p>
        </w:tc>
        <w:tc>
          <w:tcPr>
            <w:tcW w:w="4298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项目得分（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按百分比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9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镇街（社区）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业主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0"/>
              </w:tabs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99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1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9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9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99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31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9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9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99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31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9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9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99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31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9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9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9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99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31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9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9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ordWrap/>
        <w:overflowPunct/>
        <w:topLinePunct/>
        <w:bidi w:val="0"/>
        <w:rPr>
          <w:rFonts w:hint="default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ordWrap/>
        <w:overflowPunct/>
        <w:topLinePunct/>
        <w:bidi w:val="0"/>
        <w:rPr>
          <w:rFonts w:hint="default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ordWrap/>
        <w:overflowPunct/>
        <w:topLinePunct/>
        <w:bidi w:val="0"/>
        <w:rPr>
          <w:rFonts w:hint="default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莱阳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市物业服务质量考核评价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  <w:t>(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  <w:lang w:eastAsia="zh-CN"/>
        </w:rPr>
        <w:t>住建局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highlight w:val="none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3276" w:firstLineChars="1300"/>
        <w:jc w:val="both"/>
        <w:textAlignment w:val="baseline"/>
        <w:outlineLvl w:val="9"/>
        <w:rPr>
          <w:rFonts w:hint="default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  <w:t xml:space="preserve">                          考核时间：</w:t>
      </w:r>
    </w:p>
    <w:tbl>
      <w:tblPr>
        <w:tblStyle w:val="10"/>
        <w:tblW w:w="9255" w:type="dxa"/>
        <w:tblInd w:w="-1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420"/>
        <w:gridCol w:w="1612"/>
        <w:gridCol w:w="1011"/>
        <w:gridCol w:w="1045"/>
        <w:gridCol w:w="1045"/>
        <w:gridCol w:w="1069"/>
        <w:gridCol w:w="773"/>
        <w:gridCol w:w="7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35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4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物业企业名称</w:t>
            </w:r>
          </w:p>
        </w:tc>
        <w:tc>
          <w:tcPr>
            <w:tcW w:w="161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服务项目</w:t>
            </w:r>
          </w:p>
        </w:tc>
        <w:tc>
          <w:tcPr>
            <w:tcW w:w="4170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项目得分</w:t>
            </w:r>
          </w:p>
        </w:tc>
        <w:tc>
          <w:tcPr>
            <w:tcW w:w="773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平均分</w:t>
            </w:r>
          </w:p>
        </w:tc>
        <w:tc>
          <w:tcPr>
            <w:tcW w:w="745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住建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部门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镇街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（社区）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业主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0"/>
              </w:tabs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3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4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3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35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4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3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4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3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4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3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ordWrap/>
        <w:overflowPunct/>
        <w:topLinePunct/>
        <w:bidi w:val="0"/>
        <w:rPr>
          <w:rFonts w:hint="default" w:ascii="楷体_GB2312" w:hAnsi="楷体_GB2312" w:eastAsia="楷体_GB2312" w:cs="楷体_GB2312"/>
          <w:color w:val="auto"/>
          <w:spacing w:val="-4"/>
          <w:sz w:val="26"/>
          <w:szCs w:val="26"/>
          <w:highlight w:val="none"/>
          <w:lang w:val="en-US" w:eastAsia="zh-CN"/>
        </w:rPr>
      </w:pPr>
    </w:p>
    <w:sectPr>
      <w:pgSz w:w="11906" w:h="16838"/>
      <w:pgMar w:top="1701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M2NjMDc5MTFlNWIwZTM0ZGM0MGJmNGJiZDhjNmYifQ=="/>
    <w:docVar w:name="KSO_WPS_MARK_KEY" w:val="7ffe99d6-ab99-4277-bda5-201b1f231ce0"/>
  </w:docVars>
  <w:rsids>
    <w:rsidRoot w:val="34C22509"/>
    <w:rsid w:val="005E469D"/>
    <w:rsid w:val="006B2C51"/>
    <w:rsid w:val="007402CA"/>
    <w:rsid w:val="00836D59"/>
    <w:rsid w:val="00C57809"/>
    <w:rsid w:val="00D70E53"/>
    <w:rsid w:val="010C0798"/>
    <w:rsid w:val="01264FE9"/>
    <w:rsid w:val="014313AE"/>
    <w:rsid w:val="01B949D1"/>
    <w:rsid w:val="01CD7566"/>
    <w:rsid w:val="028E3199"/>
    <w:rsid w:val="030349A9"/>
    <w:rsid w:val="037C376D"/>
    <w:rsid w:val="03855DF8"/>
    <w:rsid w:val="03B46BE1"/>
    <w:rsid w:val="04377CEC"/>
    <w:rsid w:val="04A40A52"/>
    <w:rsid w:val="04DC01EC"/>
    <w:rsid w:val="04F94F3D"/>
    <w:rsid w:val="053902D7"/>
    <w:rsid w:val="056E1DDF"/>
    <w:rsid w:val="057C19CF"/>
    <w:rsid w:val="057C377D"/>
    <w:rsid w:val="05C3315A"/>
    <w:rsid w:val="0643716F"/>
    <w:rsid w:val="06C76C7A"/>
    <w:rsid w:val="070C28DE"/>
    <w:rsid w:val="07944E75"/>
    <w:rsid w:val="081128A2"/>
    <w:rsid w:val="089E3067"/>
    <w:rsid w:val="08C43471"/>
    <w:rsid w:val="0A884D46"/>
    <w:rsid w:val="0AE94F70"/>
    <w:rsid w:val="0B0B6658"/>
    <w:rsid w:val="0B330D82"/>
    <w:rsid w:val="0B4F4ACD"/>
    <w:rsid w:val="0C09654E"/>
    <w:rsid w:val="0C3E178C"/>
    <w:rsid w:val="0C7B29E0"/>
    <w:rsid w:val="0CAC0851"/>
    <w:rsid w:val="0D6D5728"/>
    <w:rsid w:val="0DA05638"/>
    <w:rsid w:val="0DD405FA"/>
    <w:rsid w:val="0E097B78"/>
    <w:rsid w:val="0E2A7241"/>
    <w:rsid w:val="0E72571D"/>
    <w:rsid w:val="0EFC7981"/>
    <w:rsid w:val="0F20786F"/>
    <w:rsid w:val="0F264E85"/>
    <w:rsid w:val="0F5F46F9"/>
    <w:rsid w:val="0F67382D"/>
    <w:rsid w:val="0FEA4AE7"/>
    <w:rsid w:val="100B407B"/>
    <w:rsid w:val="108005C5"/>
    <w:rsid w:val="109C2F25"/>
    <w:rsid w:val="10B16A78"/>
    <w:rsid w:val="11F02D79"/>
    <w:rsid w:val="122E00CF"/>
    <w:rsid w:val="123B34C1"/>
    <w:rsid w:val="12692961"/>
    <w:rsid w:val="12C201C9"/>
    <w:rsid w:val="13142903"/>
    <w:rsid w:val="13207779"/>
    <w:rsid w:val="13685340"/>
    <w:rsid w:val="14157276"/>
    <w:rsid w:val="143771ED"/>
    <w:rsid w:val="14432035"/>
    <w:rsid w:val="14595824"/>
    <w:rsid w:val="14F25F47"/>
    <w:rsid w:val="15510782"/>
    <w:rsid w:val="15DB3143"/>
    <w:rsid w:val="16493207"/>
    <w:rsid w:val="16AF39B2"/>
    <w:rsid w:val="173925A0"/>
    <w:rsid w:val="176748A1"/>
    <w:rsid w:val="177E68A7"/>
    <w:rsid w:val="183F2899"/>
    <w:rsid w:val="18CD45C3"/>
    <w:rsid w:val="18CE2C10"/>
    <w:rsid w:val="1A0D5BEF"/>
    <w:rsid w:val="1A375276"/>
    <w:rsid w:val="1ACE4291"/>
    <w:rsid w:val="1B1D71D4"/>
    <w:rsid w:val="1B3426D8"/>
    <w:rsid w:val="1B80591D"/>
    <w:rsid w:val="1B8F5B60"/>
    <w:rsid w:val="1B92788D"/>
    <w:rsid w:val="1C6C40F3"/>
    <w:rsid w:val="1CA12EFB"/>
    <w:rsid w:val="1CC7641D"/>
    <w:rsid w:val="1CF11FEE"/>
    <w:rsid w:val="1D0E0D07"/>
    <w:rsid w:val="1D552DD9"/>
    <w:rsid w:val="1D805D27"/>
    <w:rsid w:val="1DB74C09"/>
    <w:rsid w:val="1FC9789E"/>
    <w:rsid w:val="1FE470D4"/>
    <w:rsid w:val="20C8122B"/>
    <w:rsid w:val="20C869FC"/>
    <w:rsid w:val="20F067B0"/>
    <w:rsid w:val="21044AA7"/>
    <w:rsid w:val="21136754"/>
    <w:rsid w:val="222F5124"/>
    <w:rsid w:val="22B57488"/>
    <w:rsid w:val="230529BA"/>
    <w:rsid w:val="23D766F4"/>
    <w:rsid w:val="23EE53EE"/>
    <w:rsid w:val="24165B6B"/>
    <w:rsid w:val="246B70CC"/>
    <w:rsid w:val="24C26FA6"/>
    <w:rsid w:val="25021F54"/>
    <w:rsid w:val="25192B4A"/>
    <w:rsid w:val="258C4EBE"/>
    <w:rsid w:val="262477ED"/>
    <w:rsid w:val="263E08AF"/>
    <w:rsid w:val="2694227D"/>
    <w:rsid w:val="26C16DEA"/>
    <w:rsid w:val="273A095C"/>
    <w:rsid w:val="27514612"/>
    <w:rsid w:val="27D625A3"/>
    <w:rsid w:val="27F51441"/>
    <w:rsid w:val="280D678A"/>
    <w:rsid w:val="286E4D4F"/>
    <w:rsid w:val="28C50E13"/>
    <w:rsid w:val="297D539A"/>
    <w:rsid w:val="29A06400"/>
    <w:rsid w:val="2AAD76A8"/>
    <w:rsid w:val="2ADE6AFB"/>
    <w:rsid w:val="2B794137"/>
    <w:rsid w:val="2BD63337"/>
    <w:rsid w:val="2CC8624D"/>
    <w:rsid w:val="2E444588"/>
    <w:rsid w:val="2E480F50"/>
    <w:rsid w:val="2EB7063C"/>
    <w:rsid w:val="2EBF5B73"/>
    <w:rsid w:val="2FE054D9"/>
    <w:rsid w:val="2FE56020"/>
    <w:rsid w:val="2FE8547B"/>
    <w:rsid w:val="2FEC137B"/>
    <w:rsid w:val="302B5525"/>
    <w:rsid w:val="30401C50"/>
    <w:rsid w:val="30512D94"/>
    <w:rsid w:val="305A0290"/>
    <w:rsid w:val="312E4DA6"/>
    <w:rsid w:val="31696146"/>
    <w:rsid w:val="317A4765"/>
    <w:rsid w:val="31C3727E"/>
    <w:rsid w:val="322B17C7"/>
    <w:rsid w:val="32453027"/>
    <w:rsid w:val="325F4087"/>
    <w:rsid w:val="32EE19DB"/>
    <w:rsid w:val="331325B9"/>
    <w:rsid w:val="336F654B"/>
    <w:rsid w:val="33BC2E13"/>
    <w:rsid w:val="34353E60"/>
    <w:rsid w:val="34993154"/>
    <w:rsid w:val="34C0634E"/>
    <w:rsid w:val="34C22509"/>
    <w:rsid w:val="351C625F"/>
    <w:rsid w:val="356A5C40"/>
    <w:rsid w:val="35A2069B"/>
    <w:rsid w:val="35BF3D8A"/>
    <w:rsid w:val="35D01D5F"/>
    <w:rsid w:val="36421CF5"/>
    <w:rsid w:val="3652180C"/>
    <w:rsid w:val="366F318F"/>
    <w:rsid w:val="36E96615"/>
    <w:rsid w:val="36EE59D9"/>
    <w:rsid w:val="371675F9"/>
    <w:rsid w:val="372E2279"/>
    <w:rsid w:val="375D6871"/>
    <w:rsid w:val="37CE7451"/>
    <w:rsid w:val="382471D8"/>
    <w:rsid w:val="38491BDA"/>
    <w:rsid w:val="386A5533"/>
    <w:rsid w:val="38E273F6"/>
    <w:rsid w:val="3A151E23"/>
    <w:rsid w:val="3A856654"/>
    <w:rsid w:val="3AB22EA2"/>
    <w:rsid w:val="3ADB091E"/>
    <w:rsid w:val="3AE11B99"/>
    <w:rsid w:val="3B1B2B15"/>
    <w:rsid w:val="3B241C52"/>
    <w:rsid w:val="3B8A5DEC"/>
    <w:rsid w:val="3BB0325D"/>
    <w:rsid w:val="3C5A70B4"/>
    <w:rsid w:val="3C6B2713"/>
    <w:rsid w:val="3D6B17C7"/>
    <w:rsid w:val="3DBB644C"/>
    <w:rsid w:val="3F131AA4"/>
    <w:rsid w:val="3F1D32FF"/>
    <w:rsid w:val="3FF75B6E"/>
    <w:rsid w:val="404A25E1"/>
    <w:rsid w:val="4063496F"/>
    <w:rsid w:val="407D5652"/>
    <w:rsid w:val="41444289"/>
    <w:rsid w:val="42B71375"/>
    <w:rsid w:val="42D11522"/>
    <w:rsid w:val="42DD6EF5"/>
    <w:rsid w:val="438C0A54"/>
    <w:rsid w:val="43AD4A0B"/>
    <w:rsid w:val="43C20F4E"/>
    <w:rsid w:val="44FE50B0"/>
    <w:rsid w:val="455C26A8"/>
    <w:rsid w:val="45941E41"/>
    <w:rsid w:val="46050649"/>
    <w:rsid w:val="46162269"/>
    <w:rsid w:val="467F21AA"/>
    <w:rsid w:val="470A43B6"/>
    <w:rsid w:val="47355255"/>
    <w:rsid w:val="473F1385"/>
    <w:rsid w:val="47E15DE7"/>
    <w:rsid w:val="48CA787E"/>
    <w:rsid w:val="4964186F"/>
    <w:rsid w:val="4A954692"/>
    <w:rsid w:val="4B6755D3"/>
    <w:rsid w:val="4C453E95"/>
    <w:rsid w:val="4C745976"/>
    <w:rsid w:val="4C9646F1"/>
    <w:rsid w:val="4CDF7E46"/>
    <w:rsid w:val="4D8207D1"/>
    <w:rsid w:val="4DBC43F3"/>
    <w:rsid w:val="4EEA58C6"/>
    <w:rsid w:val="4EF53282"/>
    <w:rsid w:val="4F0973FC"/>
    <w:rsid w:val="4F6E3703"/>
    <w:rsid w:val="501222E0"/>
    <w:rsid w:val="50705AD0"/>
    <w:rsid w:val="50C3182D"/>
    <w:rsid w:val="50F73A4F"/>
    <w:rsid w:val="516016BB"/>
    <w:rsid w:val="51B80BAA"/>
    <w:rsid w:val="51CE6DDB"/>
    <w:rsid w:val="51F53C68"/>
    <w:rsid w:val="53143532"/>
    <w:rsid w:val="538057B3"/>
    <w:rsid w:val="53BC68E7"/>
    <w:rsid w:val="53C25DCC"/>
    <w:rsid w:val="53C51418"/>
    <w:rsid w:val="54F24469"/>
    <w:rsid w:val="56A417B8"/>
    <w:rsid w:val="56D007FF"/>
    <w:rsid w:val="56D93B58"/>
    <w:rsid w:val="57275CCE"/>
    <w:rsid w:val="574E39D8"/>
    <w:rsid w:val="57662BCF"/>
    <w:rsid w:val="57B31B4C"/>
    <w:rsid w:val="57D60813"/>
    <w:rsid w:val="583A6878"/>
    <w:rsid w:val="58B253FD"/>
    <w:rsid w:val="595B633E"/>
    <w:rsid w:val="597F71A3"/>
    <w:rsid w:val="59BF0816"/>
    <w:rsid w:val="5A591D0E"/>
    <w:rsid w:val="5B237FF6"/>
    <w:rsid w:val="5B2D6EDB"/>
    <w:rsid w:val="5C2C472A"/>
    <w:rsid w:val="5C3655A9"/>
    <w:rsid w:val="5C3929A3"/>
    <w:rsid w:val="5C3C7730"/>
    <w:rsid w:val="5C7D47CA"/>
    <w:rsid w:val="5CBD5382"/>
    <w:rsid w:val="5CDA444D"/>
    <w:rsid w:val="5D5850AB"/>
    <w:rsid w:val="5D73166C"/>
    <w:rsid w:val="5DD02914"/>
    <w:rsid w:val="5DD47CC1"/>
    <w:rsid w:val="5E361890"/>
    <w:rsid w:val="5E625782"/>
    <w:rsid w:val="5EFF7ED4"/>
    <w:rsid w:val="5F1576F7"/>
    <w:rsid w:val="5F304531"/>
    <w:rsid w:val="5F6B17DF"/>
    <w:rsid w:val="5FA56CCD"/>
    <w:rsid w:val="60161979"/>
    <w:rsid w:val="609465D6"/>
    <w:rsid w:val="60B847DE"/>
    <w:rsid w:val="61503B60"/>
    <w:rsid w:val="61D373F6"/>
    <w:rsid w:val="61DF5713"/>
    <w:rsid w:val="62164A01"/>
    <w:rsid w:val="632C5010"/>
    <w:rsid w:val="64502F80"/>
    <w:rsid w:val="64A06AA6"/>
    <w:rsid w:val="64D70FAB"/>
    <w:rsid w:val="658E1FB1"/>
    <w:rsid w:val="65FD272F"/>
    <w:rsid w:val="66216D44"/>
    <w:rsid w:val="66B9305E"/>
    <w:rsid w:val="66ED5F00"/>
    <w:rsid w:val="66ED64C6"/>
    <w:rsid w:val="66F25B1A"/>
    <w:rsid w:val="68B00491"/>
    <w:rsid w:val="699B2EEF"/>
    <w:rsid w:val="6A097522"/>
    <w:rsid w:val="6A635409"/>
    <w:rsid w:val="6AC67AF8"/>
    <w:rsid w:val="6B036F9E"/>
    <w:rsid w:val="6B7D7F9C"/>
    <w:rsid w:val="6BAB635E"/>
    <w:rsid w:val="6BCE4EB6"/>
    <w:rsid w:val="6D374CDD"/>
    <w:rsid w:val="6DC46691"/>
    <w:rsid w:val="6E1165D2"/>
    <w:rsid w:val="6FA25CD9"/>
    <w:rsid w:val="7055048C"/>
    <w:rsid w:val="713448FF"/>
    <w:rsid w:val="71690822"/>
    <w:rsid w:val="71BA46E4"/>
    <w:rsid w:val="71C1726B"/>
    <w:rsid w:val="71D074AE"/>
    <w:rsid w:val="71F155EE"/>
    <w:rsid w:val="72193555"/>
    <w:rsid w:val="726962E6"/>
    <w:rsid w:val="74A94FA5"/>
    <w:rsid w:val="74B037B9"/>
    <w:rsid w:val="74BE73F3"/>
    <w:rsid w:val="759F2515"/>
    <w:rsid w:val="75D02172"/>
    <w:rsid w:val="75D21A46"/>
    <w:rsid w:val="771A15A1"/>
    <w:rsid w:val="777F0DB7"/>
    <w:rsid w:val="77CD2866"/>
    <w:rsid w:val="77D93560"/>
    <w:rsid w:val="78F849C2"/>
    <w:rsid w:val="7934585D"/>
    <w:rsid w:val="794D24BD"/>
    <w:rsid w:val="795666CF"/>
    <w:rsid w:val="79A72845"/>
    <w:rsid w:val="79A731EA"/>
    <w:rsid w:val="79F71B0E"/>
    <w:rsid w:val="7A58469F"/>
    <w:rsid w:val="7A820227"/>
    <w:rsid w:val="7A8B0908"/>
    <w:rsid w:val="7B2368A0"/>
    <w:rsid w:val="7C3A3493"/>
    <w:rsid w:val="7C5A4544"/>
    <w:rsid w:val="7C84782A"/>
    <w:rsid w:val="7CDA6C39"/>
    <w:rsid w:val="7CF915F2"/>
    <w:rsid w:val="7D957F29"/>
    <w:rsid w:val="7DB71541"/>
    <w:rsid w:val="7DD3331E"/>
    <w:rsid w:val="7DD520D4"/>
    <w:rsid w:val="7E254D3B"/>
    <w:rsid w:val="7E885398"/>
    <w:rsid w:val="7F3B240A"/>
    <w:rsid w:val="7F55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宋体" w:cs="Times New Roman"/>
      <w:sz w:val="21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irst-child"/>
    <w:basedOn w:val="7"/>
    <w:qFormat/>
    <w:uiPriority w:val="0"/>
    <w:rPr>
      <w:b/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3477</Words>
  <Characters>3579</Characters>
  <Lines>0</Lines>
  <Paragraphs>0</Paragraphs>
  <TotalTime>33</TotalTime>
  <ScaleCrop>false</ScaleCrop>
  <LinksUpToDate>false</LinksUpToDate>
  <CharactersWithSpaces>3876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2022-11-10T06:51:00Z</dcterms:created>
  <dc:creator>WPS_1507895847</dc:creator>
  <cp:lastModifiedBy>浮生。</cp:lastModifiedBy>
  <cp:lastPrinted>2024-02-01T02:25:00Z</cp:lastPrinted>
  <dcterms:modified xsi:type="dcterms:W3CDTF">2024-02-01T06:25:06Z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4EB5555E3524402CAC1BBD30864382A0_13</vt:lpwstr>
  </property>
</Properties>
</file>