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579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微软雅黑" w:hAnsi="微软雅黑" w:eastAsia="微软雅黑" w:cs="微软雅黑"/>
          <w:b/>
          <w:bCs/>
          <w:i w:val="0"/>
          <w:iCs w:val="0"/>
          <w:caps w:val="0"/>
          <w:color w:val="333333"/>
          <w:spacing w:val="0"/>
          <w:sz w:val="44"/>
          <w:szCs w:val="44"/>
          <w:shd w:val="clear" w:fill="FFFFFF"/>
        </w:rPr>
      </w:pPr>
      <w:r>
        <w:rPr>
          <w:rFonts w:hint="eastAsia" w:ascii="微软雅黑" w:hAnsi="微软雅黑" w:eastAsia="微软雅黑" w:cs="微软雅黑"/>
          <w:b/>
          <w:bCs/>
          <w:i w:val="0"/>
          <w:iCs w:val="0"/>
          <w:caps w:val="0"/>
          <w:color w:val="333333"/>
          <w:spacing w:val="0"/>
          <w:sz w:val="44"/>
          <w:szCs w:val="44"/>
          <w:shd w:val="clear" w:fill="FFFFFF"/>
          <w:lang w:eastAsia="zh-CN"/>
        </w:rPr>
        <w:t>莱阳市</w:t>
      </w:r>
      <w:r>
        <w:rPr>
          <w:rFonts w:hint="eastAsia" w:ascii="微软雅黑" w:hAnsi="微软雅黑" w:eastAsia="微软雅黑" w:cs="微软雅黑"/>
          <w:b/>
          <w:bCs/>
          <w:i w:val="0"/>
          <w:iCs w:val="0"/>
          <w:caps w:val="0"/>
          <w:color w:val="333333"/>
          <w:spacing w:val="0"/>
          <w:sz w:val="44"/>
          <w:szCs w:val="44"/>
          <w:shd w:val="clear" w:fill="FFFFFF"/>
        </w:rPr>
        <w:t>202</w:t>
      </w:r>
      <w:r>
        <w:rPr>
          <w:rFonts w:hint="eastAsia" w:ascii="微软雅黑" w:hAnsi="微软雅黑" w:eastAsia="微软雅黑" w:cs="微软雅黑"/>
          <w:b/>
          <w:bCs/>
          <w:i w:val="0"/>
          <w:iCs w:val="0"/>
          <w:caps w:val="0"/>
          <w:color w:val="333333"/>
          <w:spacing w:val="0"/>
          <w:sz w:val="44"/>
          <w:szCs w:val="44"/>
          <w:shd w:val="clear" w:fill="FFFFFF"/>
          <w:lang w:val="en-US" w:eastAsia="zh-CN"/>
        </w:rPr>
        <w:t>5</w:t>
      </w:r>
      <w:r>
        <w:rPr>
          <w:rFonts w:hint="eastAsia" w:ascii="微软雅黑" w:hAnsi="微软雅黑" w:eastAsia="微软雅黑" w:cs="微软雅黑"/>
          <w:b/>
          <w:bCs/>
          <w:i w:val="0"/>
          <w:iCs w:val="0"/>
          <w:caps w:val="0"/>
          <w:color w:val="333333"/>
          <w:spacing w:val="0"/>
          <w:sz w:val="44"/>
          <w:szCs w:val="44"/>
          <w:shd w:val="clear" w:fill="FFFFFF"/>
        </w:rPr>
        <w:t>年</w:t>
      </w:r>
      <w:r>
        <w:rPr>
          <w:rFonts w:hint="eastAsia" w:ascii="微软雅黑" w:hAnsi="微软雅黑" w:eastAsia="微软雅黑" w:cs="微软雅黑"/>
          <w:b/>
          <w:bCs/>
          <w:i w:val="0"/>
          <w:iCs w:val="0"/>
          <w:caps w:val="0"/>
          <w:color w:val="333333"/>
          <w:spacing w:val="0"/>
          <w:sz w:val="44"/>
          <w:szCs w:val="44"/>
          <w:shd w:val="clear" w:fill="FFFFFF"/>
          <w:lang w:eastAsia="zh-CN"/>
        </w:rPr>
        <w:t>财政</w:t>
      </w:r>
      <w:r>
        <w:rPr>
          <w:rFonts w:hint="eastAsia" w:ascii="微软雅黑" w:hAnsi="微软雅黑" w:eastAsia="微软雅黑" w:cs="微软雅黑"/>
          <w:b/>
          <w:bCs/>
          <w:i w:val="0"/>
          <w:iCs w:val="0"/>
          <w:caps w:val="0"/>
          <w:color w:val="333333"/>
          <w:spacing w:val="0"/>
          <w:sz w:val="44"/>
          <w:szCs w:val="44"/>
          <w:shd w:val="clear" w:fill="FFFFFF"/>
        </w:rPr>
        <w:t>衔接资金项目入库指南</w:t>
      </w:r>
    </w:p>
    <w:p w14:paraId="1BFE402A">
      <w:pPr>
        <w:rPr>
          <w:rFonts w:hint="eastAsia"/>
        </w:rPr>
      </w:pPr>
    </w:p>
    <w:p w14:paraId="49C83F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jc w:val="both"/>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b w:val="0"/>
          <w:bCs w:val="0"/>
          <w:i w:val="0"/>
          <w:iCs w:val="0"/>
          <w:caps w:val="0"/>
          <w:color w:val="333333"/>
          <w:spacing w:val="0"/>
          <w:kern w:val="0"/>
          <w:sz w:val="30"/>
          <w:szCs w:val="30"/>
          <w:shd w:val="clear" w:fill="FFFFFF"/>
          <w:lang w:val="en-US" w:eastAsia="zh-CN" w:bidi="ar"/>
        </w:rPr>
        <w:t>根据国家和省市对衔接资金和项目管理有关规定，为加强对衔接资金项目的论证和储备，指导各镇街建立2025年巩固拓展脱贫攻坚和乡村振兴项目库，更好更快地发挥衔接资金的作用，特制定2025年衔接资金项目入库指南。</w:t>
      </w:r>
    </w:p>
    <w:p w14:paraId="0B2667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一、项目库建立原则</w:t>
      </w:r>
    </w:p>
    <w:p w14:paraId="30DAD0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——坚持因地制宜。立足当地资源禀赋和工作基础，坚持因地制宜、突出特色，注重地域特点，体现乡土风情，不搞一刀切，不搞统一模式，杜绝“形象工程”。</w:t>
      </w:r>
    </w:p>
    <w:p w14:paraId="72B0AF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——坚持群众参与。尊重人民群众的主体地位，认真听取群众的意见和建议，引导其参与入库扶贫项目选择、批准后实施、竣工后管理，提高参与度，增强获得感。</w:t>
      </w:r>
    </w:p>
    <w:p w14:paraId="1270E3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——坚持公开透明。严格项目入库程序，积极推广群众民主议事决策机制，项目入库前要逐级公示，经批准并建设竣工后的项目要在实施地公告，接受群众和社会监督，实行扶贫项目阳光化管理。</w:t>
      </w:r>
    </w:p>
    <w:p w14:paraId="33460D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——坚持动态管理。项目库建设要坚持科学合理，可操作性强，注重实事求是，结合实际情况对项目库的项目有进有出，动态管理，既体现项目储备功能，又能体现管理功能。</w:t>
      </w:r>
    </w:p>
    <w:p w14:paraId="064613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二、项目规划前置要求</w:t>
      </w:r>
    </w:p>
    <w:p w14:paraId="149E36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一）项目用地坚持合法合规的要求。项目立项过程中，要加强与国土、农业、发改等部门的沟通联系，严格按照《中华人民共和国土地管理法实施条例》、《国务院办公厅关于防止耕地“非粮化”稳定粮食生产的意见》（国办发〔2020〕44号）、《国务院办公厅关于坚决制止耕地“非农化”行为的通知》（国办发明电〔2020〕24号）、《自然资源部 农业农村部关于设施农业用地管理有关问题的通知》（自然资规〔2019〕4号）等一系列法规、文件要求，实行项目立项土地前置，项目建议书后附国土部门出具的符合土地政策的说明，对影响国家粮食安全、违反国土空间规划等不符合土地政策的项目一律不予批复实施。</w:t>
      </w:r>
    </w:p>
    <w:p w14:paraId="0F34A2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二）项目实施坚持符合环境保护的要求。对于养殖类、加工类等需要进行环境评价的项目，要积极对接环保、行政审批等部门，严格落实《中华人民共和国环境影响评价法》《建设项目环境保护管理条例》基本要求，按照环境影响报告书（表）审批程序有关规定，做好项目环境影响报告书（表）。对于无项目环境影响报告书（表）以及项目实施方案中未明确按环境影响报告书（表）及其审批部门审批决定建设环境保护设施的项目，一律不予批复实施，对于项目未按环境影响报告书（表）及其审批部门审批决定要求建成环境保护设施以及设施不能正常运转、污染物排放不达标等违反环境保护法律法规规章等规定的项目，一律不予验收，同时将联合纪检、监察等有关部门严肃追究相关责任人责任。</w:t>
      </w:r>
    </w:p>
    <w:p w14:paraId="24BE68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三）项目谋划坚持与城乡规划一体推进。鼓励以镇为单位实施项目，按照镇街规划发展要求，项目谋划与社区建设、美丽乡村建设协同推进，集中各部门政策优势，形成合力，共同打造产业兴旺、美丽宜居、环境优美的新农村。</w:t>
      </w:r>
    </w:p>
    <w:p w14:paraId="2DB84E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rPr>
      </w:pPr>
      <w:r>
        <w:rPr>
          <w:rFonts w:hint="eastAsia" w:ascii="新宋体" w:hAnsi="新宋体" w:eastAsia="新宋体" w:cs="新宋体"/>
          <w:b/>
          <w:bCs/>
          <w:i w:val="0"/>
          <w:iCs w:val="0"/>
          <w:caps w:val="0"/>
          <w:color w:val="333333"/>
          <w:spacing w:val="0"/>
          <w:sz w:val="30"/>
          <w:szCs w:val="30"/>
          <w:shd w:val="clear" w:fill="FFFFFF"/>
        </w:rPr>
        <w:t>三、项目支持对象</w:t>
      </w:r>
    </w:p>
    <w:p w14:paraId="5151DB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rPr>
      </w:pPr>
      <w:r>
        <w:rPr>
          <w:rFonts w:hint="eastAsia" w:ascii="新宋体" w:hAnsi="新宋体" w:eastAsia="新宋体" w:cs="新宋体"/>
          <w:b/>
          <w:bCs/>
          <w:i w:val="0"/>
          <w:iCs w:val="0"/>
          <w:caps w:val="0"/>
          <w:color w:val="333333"/>
          <w:spacing w:val="0"/>
          <w:sz w:val="30"/>
          <w:szCs w:val="30"/>
          <w:shd w:val="clear" w:fill="FFFFFF"/>
        </w:rPr>
        <w:t>（一）衔接推进区项目。</w:t>
      </w:r>
    </w:p>
    <w:p w14:paraId="1C8BB5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rPr>
      </w:pPr>
      <w:r>
        <w:rPr>
          <w:rFonts w:hint="eastAsia" w:ascii="新宋体" w:hAnsi="新宋体" w:eastAsia="新宋体" w:cs="新宋体"/>
          <w:i w:val="0"/>
          <w:iCs w:val="0"/>
          <w:caps w:val="0"/>
          <w:color w:val="333333"/>
          <w:spacing w:val="0"/>
          <w:sz w:val="30"/>
          <w:szCs w:val="30"/>
          <w:shd w:val="clear" w:fill="FFFFFF"/>
        </w:rPr>
        <w:t>围绕农业、农村、农民进行区域性、整体性、系统性补齐短板弱项，综合扶持提升，以镇为单位进行实施上报。一是有较好的产业基础。有符合县级产业振兴规划、产业链条具有延伸潜力、市场前景较好的1-2个特色优势农业产业。二是有合理的规划布局。衔接推进区内村庄应属于集聚提升类村庄或特色保护类村庄，不能将将城中村、镇中村和城郊融合类村庄、搬迁撤并类村庄纳入其中；衔接推进区应当编制乡村振兴规划和多规合一的村庄规划，发展功能定位准确，发展规划可持续。</w:t>
      </w:r>
    </w:p>
    <w:p w14:paraId="4FA36E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rPr>
      </w:pPr>
      <w:r>
        <w:rPr>
          <w:rFonts w:hint="eastAsia" w:ascii="新宋体" w:hAnsi="新宋体" w:eastAsia="新宋体" w:cs="新宋体"/>
          <w:b/>
          <w:bCs/>
          <w:i w:val="0"/>
          <w:iCs w:val="0"/>
          <w:caps w:val="0"/>
          <w:color w:val="333333"/>
          <w:spacing w:val="0"/>
          <w:sz w:val="30"/>
          <w:szCs w:val="30"/>
          <w:shd w:val="clear" w:fill="FFFFFF"/>
        </w:rPr>
        <w:t>（二）推进区之外的项目。</w:t>
      </w:r>
    </w:p>
    <w:p w14:paraId="184983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i w:val="0"/>
          <w:iCs w:val="0"/>
          <w:caps w:val="0"/>
          <w:color w:val="333333"/>
          <w:spacing w:val="0"/>
          <w:sz w:val="30"/>
          <w:szCs w:val="30"/>
        </w:rPr>
      </w:pPr>
      <w:r>
        <w:rPr>
          <w:rStyle w:val="6"/>
          <w:rFonts w:hint="eastAsia" w:ascii="新宋体" w:hAnsi="新宋体" w:eastAsia="新宋体" w:cs="新宋体"/>
          <w:b/>
          <w:bCs/>
          <w:i w:val="0"/>
          <w:iCs w:val="0"/>
          <w:caps w:val="0"/>
          <w:color w:val="333333"/>
          <w:spacing w:val="0"/>
          <w:sz w:val="30"/>
          <w:szCs w:val="30"/>
          <w:shd w:val="clear" w:fill="FFFFFF"/>
        </w:rPr>
        <w:t>1、产业类项目。</w:t>
      </w:r>
      <w:r>
        <w:rPr>
          <w:rFonts w:hint="eastAsia" w:ascii="新宋体" w:hAnsi="新宋体" w:eastAsia="新宋体" w:cs="新宋体"/>
          <w:i w:val="0"/>
          <w:iCs w:val="0"/>
          <w:caps w:val="0"/>
          <w:color w:val="333333"/>
          <w:spacing w:val="0"/>
          <w:sz w:val="30"/>
          <w:szCs w:val="30"/>
          <w:shd w:val="clear" w:fill="FFFFFF"/>
        </w:rPr>
        <w:t>支持村集体产业发展，优先安排脱贫村以及脱贫享受政策人口和监测帮扶对象数量较多的村，鼓励党支部领办合作社参与项目实施与管理；积极发挥龙头企业、专业合作社、村级集体经济组织、家庭农场、农业社会化服务组织的引领带动作用。依托上述主体实施的产业项目，财政投入资金应优先形成固定资产，并通过方案、协议等形式，明确土地流转、就业务工、带动生产、帮助产销对接、资产入股、收益分红等利益联结机制，带动村级集体经济发展，避免简单入股分红，确保群众充分受益，并向监测对象倾斜。龙头企业、专业合作社、家庭农场等生产经营主体申报衔接资金项目，一律不得由中介机构直接代理，一律不得将财政补助资金用于支付中介费用。</w:t>
      </w:r>
    </w:p>
    <w:p w14:paraId="30BA18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rPr>
      </w:pPr>
      <w:r>
        <w:rPr>
          <w:rFonts w:hint="eastAsia" w:ascii="新宋体" w:hAnsi="新宋体" w:eastAsia="新宋体" w:cs="新宋体"/>
          <w:i w:val="0"/>
          <w:iCs w:val="0"/>
          <w:caps w:val="0"/>
          <w:color w:val="333333"/>
          <w:spacing w:val="0"/>
          <w:sz w:val="30"/>
          <w:szCs w:val="30"/>
          <w:shd w:val="clear" w:fill="FFFFFF"/>
        </w:rPr>
        <w:t>鼓励顺应产业发展规律，立足当地优势资源禀赋，统筹支持产业发展的各渠道资金，用好涉农资金统筹整合政策，支持现代农业产业园、农业产业强镇和优势特色产业集群建设，壮大县域富民产业，让农民群众更多分享产业增值收益。</w:t>
      </w:r>
    </w:p>
    <w:p w14:paraId="2B6CF4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i w:val="0"/>
          <w:iCs w:val="0"/>
          <w:caps w:val="0"/>
          <w:color w:val="333333"/>
          <w:spacing w:val="0"/>
          <w:sz w:val="30"/>
          <w:szCs w:val="30"/>
        </w:rPr>
      </w:pPr>
      <w:r>
        <w:rPr>
          <w:rStyle w:val="6"/>
          <w:rFonts w:hint="eastAsia" w:ascii="新宋体" w:hAnsi="新宋体" w:eastAsia="新宋体" w:cs="新宋体"/>
          <w:b/>
          <w:bCs/>
          <w:i w:val="0"/>
          <w:iCs w:val="0"/>
          <w:caps w:val="0"/>
          <w:color w:val="333333"/>
          <w:spacing w:val="0"/>
          <w:sz w:val="30"/>
          <w:szCs w:val="30"/>
          <w:shd w:val="clear" w:fill="FFFFFF"/>
        </w:rPr>
        <w:t>2、公益性基础设施类项目。</w:t>
      </w:r>
      <w:r>
        <w:rPr>
          <w:rFonts w:hint="eastAsia" w:ascii="新宋体" w:hAnsi="新宋体" w:eastAsia="新宋体" w:cs="新宋体"/>
          <w:i w:val="0"/>
          <w:iCs w:val="0"/>
          <w:caps w:val="0"/>
          <w:color w:val="333333"/>
          <w:spacing w:val="0"/>
          <w:sz w:val="30"/>
          <w:szCs w:val="30"/>
          <w:shd w:val="clear" w:fill="FFFFFF"/>
        </w:rPr>
        <w:t>支持农村围绕村集体公益性设施发展，主要以村为单位进行支持，可以采取联村、镇级统筹实施等方式予以支持。</w:t>
      </w:r>
    </w:p>
    <w:p w14:paraId="16CD7A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i w:val="0"/>
          <w:iCs w:val="0"/>
          <w:caps w:val="0"/>
          <w:color w:val="333333"/>
          <w:spacing w:val="0"/>
          <w:sz w:val="30"/>
          <w:szCs w:val="30"/>
        </w:rPr>
      </w:pPr>
      <w:r>
        <w:rPr>
          <w:rStyle w:val="6"/>
          <w:rFonts w:hint="eastAsia" w:ascii="新宋体" w:hAnsi="新宋体" w:eastAsia="新宋体" w:cs="新宋体"/>
          <w:b/>
          <w:bCs/>
          <w:i w:val="0"/>
          <w:iCs w:val="0"/>
          <w:caps w:val="0"/>
          <w:color w:val="333333"/>
          <w:spacing w:val="0"/>
          <w:sz w:val="30"/>
          <w:szCs w:val="30"/>
          <w:shd w:val="clear" w:fill="FFFFFF"/>
        </w:rPr>
        <w:t>3、其他项目。</w:t>
      </w:r>
      <w:r>
        <w:rPr>
          <w:rFonts w:hint="eastAsia" w:ascii="新宋体" w:hAnsi="新宋体" w:eastAsia="新宋体" w:cs="新宋体"/>
          <w:i w:val="0"/>
          <w:iCs w:val="0"/>
          <w:caps w:val="0"/>
          <w:color w:val="333333"/>
          <w:spacing w:val="0"/>
          <w:sz w:val="30"/>
          <w:szCs w:val="30"/>
          <w:shd w:val="clear" w:fill="FFFFFF"/>
        </w:rPr>
        <w:t>主要支持对符合条件的农村地区监测对象、脱贫人口及其帮扶主体进行补贴、补助和项目管理费使用。</w:t>
      </w:r>
    </w:p>
    <w:p w14:paraId="0690BB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w:t>
      </w:r>
      <w:r>
        <w:rPr>
          <w:rFonts w:hint="eastAsia" w:ascii="新宋体" w:hAnsi="新宋体" w:eastAsia="新宋体" w:cs="新宋体"/>
          <w:b/>
          <w:bCs/>
          <w:i w:val="0"/>
          <w:iCs w:val="0"/>
          <w:caps w:val="0"/>
          <w:color w:val="333333"/>
          <w:spacing w:val="0"/>
          <w:sz w:val="30"/>
          <w:szCs w:val="30"/>
          <w:shd w:val="clear" w:fill="FFFFFF"/>
          <w:lang w:eastAsia="zh-CN"/>
        </w:rPr>
        <w:t>三</w:t>
      </w:r>
      <w:r>
        <w:rPr>
          <w:rFonts w:hint="eastAsia" w:ascii="新宋体" w:hAnsi="新宋体" w:eastAsia="新宋体" w:cs="新宋体"/>
          <w:b/>
          <w:bCs/>
          <w:i w:val="0"/>
          <w:iCs w:val="0"/>
          <w:caps w:val="0"/>
          <w:color w:val="333333"/>
          <w:spacing w:val="0"/>
          <w:sz w:val="30"/>
          <w:szCs w:val="30"/>
          <w:shd w:val="clear" w:fill="FFFFFF"/>
        </w:rPr>
        <w:t>）杜绝用于负面清单事项。</w:t>
      </w:r>
    </w:p>
    <w:p w14:paraId="2CDDEB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要严格按照</w:t>
      </w:r>
      <w:r>
        <w:rPr>
          <w:rFonts w:hint="eastAsia" w:ascii="新宋体" w:hAnsi="新宋体" w:eastAsia="新宋体" w:cs="新宋体"/>
          <w:i w:val="0"/>
          <w:iCs w:val="0"/>
          <w:caps w:val="0"/>
          <w:color w:val="333333"/>
          <w:spacing w:val="0"/>
          <w:sz w:val="30"/>
          <w:szCs w:val="30"/>
          <w:shd w:val="clear" w:fill="FFFFFF"/>
          <w:lang w:eastAsia="zh-CN"/>
        </w:rPr>
        <w:t>各级财政</w:t>
      </w:r>
      <w:r>
        <w:rPr>
          <w:rFonts w:hint="eastAsia" w:ascii="新宋体" w:hAnsi="新宋体" w:eastAsia="新宋体" w:cs="新宋体"/>
          <w:i w:val="0"/>
          <w:iCs w:val="0"/>
          <w:caps w:val="0"/>
          <w:color w:val="333333"/>
          <w:spacing w:val="0"/>
          <w:sz w:val="30"/>
          <w:szCs w:val="30"/>
          <w:shd w:val="clear" w:fill="FFFFFF"/>
        </w:rPr>
        <w:t>衔接资金管理办法规定的用途安排使用资金，不得将资金用于与巩固拓展脱贫攻坚成果和推进乡村振兴无关的支出，包括：单位基本支出、交通工具及通讯设备购置支出、修建楼堂馆所、发放各种工资奖金津贴和福利性补助、防止返贫监测预警工作经费；偿还债务本息(不含对纳入“十三五”规划的易地搬迁贷款给予贴息和对调整规范易地搬迁融资方式后发行的地方政府一般债券按规定予以补助)和垫资等。</w:t>
      </w:r>
    </w:p>
    <w:p w14:paraId="7BA28B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低保、医保、养老保险、临时救助等有稳定、固定资金渠道的综合保障措施，教育、卫生、养老服务、文化等有相应资金渠道的农村基本公共服务，按原资金渠道予以支持保障。</w:t>
      </w:r>
    </w:p>
    <w:p w14:paraId="666592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val="en-US" w:eastAsia="zh-CN"/>
        </w:rPr>
        <w:t>四、</w:t>
      </w:r>
      <w:r>
        <w:rPr>
          <w:rFonts w:hint="eastAsia" w:ascii="新宋体" w:hAnsi="新宋体" w:eastAsia="新宋体" w:cs="新宋体"/>
          <w:b/>
          <w:bCs/>
          <w:i w:val="0"/>
          <w:iCs w:val="0"/>
          <w:caps w:val="0"/>
          <w:color w:val="333333"/>
          <w:spacing w:val="0"/>
          <w:sz w:val="30"/>
          <w:szCs w:val="30"/>
          <w:shd w:val="clear" w:fill="FFFFFF"/>
        </w:rPr>
        <w:t>基本内容</w:t>
      </w:r>
    </w:p>
    <w:p w14:paraId="593960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（一）编制范围</w:t>
      </w:r>
    </w:p>
    <w:p w14:paraId="0A17F1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各镇街所有农村行政村，编制时间为2025年。</w:t>
      </w:r>
    </w:p>
    <w:p w14:paraId="3B8A3A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eastAsia="zh-CN"/>
        </w:rPr>
        <w:t>（二）</w:t>
      </w:r>
      <w:r>
        <w:rPr>
          <w:rFonts w:hint="eastAsia" w:ascii="新宋体" w:hAnsi="新宋体" w:eastAsia="新宋体" w:cs="新宋体"/>
          <w:b/>
          <w:bCs/>
          <w:i w:val="0"/>
          <w:iCs w:val="0"/>
          <w:caps w:val="0"/>
          <w:color w:val="333333"/>
          <w:spacing w:val="0"/>
          <w:sz w:val="30"/>
          <w:szCs w:val="30"/>
          <w:shd w:val="clear" w:fill="FFFFFF"/>
        </w:rPr>
        <w:t>项目支持对象</w:t>
      </w:r>
    </w:p>
    <w:p w14:paraId="5D7248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衔接资金项目支持对象主要为：支持所有村庄的建设，重点向脱贫村、有脱贫享受政策户和监测帮扶户的村倾斜。</w:t>
      </w:r>
    </w:p>
    <w:p w14:paraId="16A40C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val="en-US" w:eastAsia="zh-CN"/>
        </w:rPr>
        <w:t>五</w:t>
      </w:r>
      <w:r>
        <w:rPr>
          <w:rFonts w:hint="eastAsia" w:ascii="新宋体" w:hAnsi="新宋体" w:eastAsia="新宋体" w:cs="新宋体"/>
          <w:b/>
          <w:bCs/>
          <w:i w:val="0"/>
          <w:iCs w:val="0"/>
          <w:caps w:val="0"/>
          <w:color w:val="333333"/>
          <w:spacing w:val="0"/>
          <w:sz w:val="30"/>
          <w:szCs w:val="30"/>
          <w:shd w:val="clear" w:fill="FFFFFF"/>
        </w:rPr>
        <w:t>、项目入库程序</w:t>
      </w:r>
    </w:p>
    <w:p w14:paraId="54E899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（一）村级项目</w:t>
      </w:r>
    </w:p>
    <w:p w14:paraId="51404F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1.村申报。组织召开村两委会或村民代表大会，广泛征求意见研究确定申报项目，编制入库项目申请书，在村内公示后上报至镇</w:t>
      </w:r>
      <w:r>
        <w:rPr>
          <w:rFonts w:hint="eastAsia" w:ascii="新宋体" w:hAnsi="新宋体" w:eastAsia="新宋体" w:cs="新宋体"/>
          <w:i w:val="0"/>
          <w:iCs w:val="0"/>
          <w:caps w:val="0"/>
          <w:color w:val="333333"/>
          <w:spacing w:val="0"/>
          <w:sz w:val="30"/>
          <w:szCs w:val="30"/>
          <w:shd w:val="clear" w:fill="FFFFFF"/>
          <w:lang w:eastAsia="zh-CN"/>
        </w:rPr>
        <w:t>（</w:t>
      </w:r>
      <w:r>
        <w:rPr>
          <w:rFonts w:hint="eastAsia" w:ascii="新宋体" w:hAnsi="新宋体" w:eastAsia="新宋体" w:cs="新宋体"/>
          <w:i w:val="0"/>
          <w:iCs w:val="0"/>
          <w:caps w:val="0"/>
          <w:color w:val="333333"/>
          <w:spacing w:val="0"/>
          <w:sz w:val="30"/>
          <w:szCs w:val="30"/>
          <w:shd w:val="clear" w:fill="FFFFFF"/>
        </w:rPr>
        <w:t>街）。</w:t>
      </w:r>
    </w:p>
    <w:p w14:paraId="4C6976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2.镇审核。镇（街）要对申报项目的真实性、必要性以及项目申请书主要内容进行全面审核，审核通过后报市</w:t>
      </w:r>
      <w:r>
        <w:rPr>
          <w:rFonts w:hint="eastAsia" w:ascii="新宋体" w:hAnsi="新宋体" w:eastAsia="新宋体" w:cs="新宋体"/>
          <w:i w:val="0"/>
          <w:iCs w:val="0"/>
          <w:caps w:val="0"/>
          <w:color w:val="333333"/>
          <w:spacing w:val="0"/>
          <w:sz w:val="30"/>
          <w:szCs w:val="30"/>
          <w:shd w:val="clear" w:fill="FFFFFF"/>
          <w:lang w:eastAsia="zh-CN"/>
        </w:rPr>
        <w:t>农业农村</w:t>
      </w:r>
      <w:r>
        <w:rPr>
          <w:rFonts w:hint="eastAsia" w:ascii="新宋体" w:hAnsi="新宋体" w:eastAsia="新宋体" w:cs="新宋体"/>
          <w:i w:val="0"/>
          <w:iCs w:val="0"/>
          <w:caps w:val="0"/>
          <w:color w:val="333333"/>
          <w:spacing w:val="0"/>
          <w:sz w:val="30"/>
          <w:szCs w:val="30"/>
          <w:shd w:val="clear" w:fill="FFFFFF"/>
        </w:rPr>
        <w:t>局。</w:t>
      </w:r>
    </w:p>
    <w:p w14:paraId="7202DF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3.市审定。市</w:t>
      </w:r>
      <w:r>
        <w:rPr>
          <w:rFonts w:hint="eastAsia" w:ascii="新宋体" w:hAnsi="新宋体" w:eastAsia="新宋体" w:cs="新宋体"/>
          <w:i w:val="0"/>
          <w:iCs w:val="0"/>
          <w:caps w:val="0"/>
          <w:color w:val="333333"/>
          <w:spacing w:val="0"/>
          <w:sz w:val="30"/>
          <w:szCs w:val="30"/>
          <w:shd w:val="clear" w:fill="FFFFFF"/>
          <w:lang w:eastAsia="zh-CN"/>
        </w:rPr>
        <w:t>农业农村</w:t>
      </w:r>
      <w:r>
        <w:rPr>
          <w:rFonts w:hint="eastAsia" w:ascii="新宋体" w:hAnsi="新宋体" w:eastAsia="新宋体" w:cs="新宋体"/>
          <w:i w:val="0"/>
          <w:iCs w:val="0"/>
          <w:caps w:val="0"/>
          <w:color w:val="333333"/>
          <w:spacing w:val="0"/>
          <w:sz w:val="30"/>
          <w:szCs w:val="30"/>
          <w:shd w:val="clear" w:fill="FFFFFF"/>
        </w:rPr>
        <w:t>局会同相关部门对镇（街、区）报送项目的必要性、合规性、可行性进行论证，论证通过的项目由</w:t>
      </w:r>
      <w:r>
        <w:rPr>
          <w:rFonts w:hint="eastAsia" w:ascii="新宋体" w:hAnsi="新宋体" w:eastAsia="新宋体" w:cs="新宋体"/>
          <w:i w:val="0"/>
          <w:iCs w:val="0"/>
          <w:caps w:val="0"/>
          <w:color w:val="333333"/>
          <w:spacing w:val="0"/>
          <w:sz w:val="30"/>
          <w:szCs w:val="30"/>
          <w:shd w:val="clear" w:fill="FFFFFF"/>
          <w:lang w:eastAsia="zh-CN"/>
        </w:rPr>
        <w:t>中共莱阳市委农村工作领导小组</w:t>
      </w:r>
      <w:bookmarkStart w:id="0" w:name="_GoBack"/>
      <w:bookmarkEnd w:id="0"/>
      <w:r>
        <w:rPr>
          <w:rFonts w:hint="eastAsia" w:ascii="新宋体" w:hAnsi="新宋体" w:eastAsia="新宋体" w:cs="新宋体"/>
          <w:i w:val="0"/>
          <w:iCs w:val="0"/>
          <w:caps w:val="0"/>
          <w:color w:val="333333"/>
          <w:spacing w:val="0"/>
          <w:sz w:val="30"/>
          <w:szCs w:val="30"/>
          <w:shd w:val="clear" w:fill="FFFFFF"/>
        </w:rPr>
        <w:t>审定后，经公示无异议，纳入项目库并予公告。</w:t>
      </w:r>
    </w:p>
    <w:p w14:paraId="0E0B09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（二）镇级项目</w:t>
      </w:r>
    </w:p>
    <w:p w14:paraId="338D4A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镇级项目，由项目单位提出项目建议，征求相关村意见后，编制入库项目申请书，并在相关村进行公示后，报送市</w:t>
      </w:r>
      <w:r>
        <w:rPr>
          <w:rFonts w:hint="eastAsia" w:ascii="新宋体" w:hAnsi="新宋体" w:eastAsia="新宋体" w:cs="新宋体"/>
          <w:i w:val="0"/>
          <w:iCs w:val="0"/>
          <w:caps w:val="0"/>
          <w:color w:val="333333"/>
          <w:spacing w:val="0"/>
          <w:sz w:val="30"/>
          <w:szCs w:val="30"/>
          <w:shd w:val="clear" w:fill="FFFFFF"/>
          <w:lang w:eastAsia="zh-CN"/>
        </w:rPr>
        <w:t>农业农村</w:t>
      </w:r>
      <w:r>
        <w:rPr>
          <w:rFonts w:hint="eastAsia" w:ascii="新宋体" w:hAnsi="新宋体" w:eastAsia="新宋体" w:cs="新宋体"/>
          <w:i w:val="0"/>
          <w:iCs w:val="0"/>
          <w:caps w:val="0"/>
          <w:color w:val="333333"/>
          <w:spacing w:val="0"/>
          <w:sz w:val="30"/>
          <w:szCs w:val="30"/>
          <w:shd w:val="clear" w:fill="FFFFFF"/>
        </w:rPr>
        <w:t>局。具体程序：申报入库镇级项目经镇级政府会议审核，申报入库镇级项目经项目覆盖村会议研究同意并在村内公示、报市级报告、市级论证评审意见、市级审定意见、市级公示、市级公告。</w:t>
      </w:r>
    </w:p>
    <w:p w14:paraId="6ADB392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eastAsia="zh-CN"/>
        </w:rPr>
        <w:t>六</w:t>
      </w:r>
      <w:r>
        <w:rPr>
          <w:rFonts w:hint="eastAsia" w:ascii="新宋体" w:hAnsi="新宋体" w:eastAsia="新宋体" w:cs="新宋体"/>
          <w:b/>
          <w:bCs/>
          <w:i w:val="0"/>
          <w:iCs w:val="0"/>
          <w:caps w:val="0"/>
          <w:color w:val="333333"/>
          <w:spacing w:val="0"/>
          <w:sz w:val="30"/>
          <w:szCs w:val="30"/>
          <w:shd w:val="clear" w:fill="FFFFFF"/>
        </w:rPr>
        <w:t>、工作要求</w:t>
      </w:r>
    </w:p>
    <w:p w14:paraId="7FCC7B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（一）请各镇街区根据本地实际情况积极提报项目申报入库，未纳入项目库的项目一律不得纳入202</w:t>
      </w:r>
      <w:r>
        <w:rPr>
          <w:rFonts w:hint="eastAsia" w:ascii="新宋体" w:hAnsi="新宋体" w:eastAsia="新宋体" w:cs="新宋体"/>
          <w:i w:val="0"/>
          <w:iCs w:val="0"/>
          <w:caps w:val="0"/>
          <w:color w:val="333333"/>
          <w:spacing w:val="0"/>
          <w:sz w:val="30"/>
          <w:szCs w:val="30"/>
          <w:shd w:val="clear" w:fill="FFFFFF"/>
          <w:lang w:val="en-US" w:eastAsia="zh-CN"/>
        </w:rPr>
        <w:t>5</w:t>
      </w:r>
      <w:r>
        <w:rPr>
          <w:rFonts w:hint="eastAsia" w:ascii="新宋体" w:hAnsi="新宋体" w:eastAsia="新宋体" w:cs="新宋体"/>
          <w:i w:val="0"/>
          <w:iCs w:val="0"/>
          <w:caps w:val="0"/>
          <w:color w:val="333333"/>
          <w:spacing w:val="0"/>
          <w:sz w:val="30"/>
          <w:szCs w:val="30"/>
          <w:shd w:val="clear" w:fill="FFFFFF"/>
        </w:rPr>
        <w:t>年实施计划。为加快项目建设，对纳入项目库的项目谋划要精细，项目建设内容要准确，项目图纸、预算要由专业机构出具，不得擅自调整、变更，因政策变化等除特殊原因确需调整、变更的，要按程序报批。</w:t>
      </w:r>
    </w:p>
    <w:p w14:paraId="239530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（二）所报项目要符合当地实际，具备实施条件，产业项目要能够持续稳定产生经济效益，所有项目要符合土地、环保等方面的要求。项目所占土地性质不明确的、不符合环保要求的项目一律不纳入项目库。</w:t>
      </w:r>
    </w:p>
    <w:p w14:paraId="5B6A86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（三）要严格落实公示公告制度，按照《山东省衔接资金项目管理参考模板》要求，整理并留存好镇村相关档案资料。各镇街区11月1</w:t>
      </w:r>
      <w:r>
        <w:rPr>
          <w:rFonts w:hint="eastAsia" w:ascii="新宋体" w:hAnsi="新宋体" w:eastAsia="新宋体" w:cs="新宋体"/>
          <w:i w:val="0"/>
          <w:iCs w:val="0"/>
          <w:caps w:val="0"/>
          <w:color w:val="333333"/>
          <w:spacing w:val="0"/>
          <w:sz w:val="30"/>
          <w:szCs w:val="30"/>
          <w:shd w:val="clear" w:fill="FFFFFF"/>
          <w:lang w:val="en-US" w:eastAsia="zh-CN"/>
        </w:rPr>
        <w:t>5</w:t>
      </w:r>
      <w:r>
        <w:rPr>
          <w:rFonts w:hint="eastAsia" w:ascii="新宋体" w:hAnsi="新宋体" w:eastAsia="新宋体" w:cs="新宋体"/>
          <w:i w:val="0"/>
          <w:iCs w:val="0"/>
          <w:caps w:val="0"/>
          <w:color w:val="333333"/>
          <w:spacing w:val="0"/>
          <w:sz w:val="30"/>
          <w:szCs w:val="30"/>
          <w:shd w:val="clear" w:fill="FFFFFF"/>
        </w:rPr>
        <w:t>日前要履行完</w:t>
      </w:r>
      <w:r>
        <w:rPr>
          <w:rFonts w:hint="eastAsia" w:ascii="新宋体" w:hAnsi="新宋体" w:eastAsia="新宋体" w:cs="新宋体"/>
          <w:i w:val="0"/>
          <w:iCs w:val="0"/>
          <w:caps w:val="0"/>
          <w:color w:val="333333"/>
          <w:spacing w:val="0"/>
          <w:sz w:val="30"/>
          <w:szCs w:val="30"/>
          <w:shd w:val="clear" w:fill="FFFFFF"/>
          <w:lang w:eastAsia="zh-CN"/>
        </w:rPr>
        <w:t>上</w:t>
      </w:r>
      <w:r>
        <w:rPr>
          <w:rFonts w:hint="eastAsia" w:ascii="新宋体" w:hAnsi="新宋体" w:eastAsia="新宋体" w:cs="新宋体"/>
          <w:i w:val="0"/>
          <w:iCs w:val="0"/>
          <w:caps w:val="0"/>
          <w:color w:val="333333"/>
          <w:spacing w:val="0"/>
          <w:sz w:val="30"/>
          <w:szCs w:val="30"/>
          <w:shd w:val="clear" w:fill="FFFFFF"/>
        </w:rPr>
        <w:t>报市级报告之前的所有程序。</w:t>
      </w:r>
    </w:p>
    <w:p w14:paraId="2128D7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                      </w:t>
      </w:r>
    </w:p>
    <w:p w14:paraId="26A897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 </w:t>
      </w:r>
      <w:r>
        <w:rPr>
          <w:rFonts w:hint="eastAsia" w:ascii="新宋体" w:hAnsi="新宋体" w:eastAsia="新宋体" w:cs="新宋体"/>
          <w:i w:val="0"/>
          <w:iCs w:val="0"/>
          <w:caps w:val="0"/>
          <w:color w:val="333333"/>
          <w:spacing w:val="0"/>
          <w:sz w:val="30"/>
          <w:szCs w:val="30"/>
          <w:shd w:val="clear" w:fill="FFFFFF"/>
          <w:lang w:val="en-US" w:eastAsia="zh-CN"/>
        </w:rPr>
        <w:t xml:space="preserve">                              </w:t>
      </w:r>
      <w:r>
        <w:rPr>
          <w:rFonts w:hint="eastAsia" w:ascii="新宋体" w:hAnsi="新宋体" w:eastAsia="新宋体" w:cs="新宋体"/>
          <w:i w:val="0"/>
          <w:iCs w:val="0"/>
          <w:caps w:val="0"/>
          <w:color w:val="333333"/>
          <w:spacing w:val="0"/>
          <w:sz w:val="30"/>
          <w:szCs w:val="30"/>
          <w:shd w:val="clear" w:fill="FFFFFF"/>
          <w:lang w:eastAsia="zh-CN"/>
        </w:rPr>
        <w:t>莱阳市农业农村</w:t>
      </w:r>
      <w:r>
        <w:rPr>
          <w:rFonts w:hint="eastAsia" w:ascii="新宋体" w:hAnsi="新宋体" w:eastAsia="新宋体" w:cs="新宋体"/>
          <w:i w:val="0"/>
          <w:iCs w:val="0"/>
          <w:caps w:val="0"/>
          <w:color w:val="333333"/>
          <w:spacing w:val="0"/>
          <w:sz w:val="30"/>
          <w:szCs w:val="30"/>
          <w:shd w:val="clear" w:fill="FFFFFF"/>
        </w:rPr>
        <w:t>局</w:t>
      </w:r>
    </w:p>
    <w:p w14:paraId="762131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right="0" w:firstLine="5400" w:firstLineChars="18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20</w:t>
      </w:r>
      <w:r>
        <w:rPr>
          <w:rFonts w:hint="eastAsia" w:ascii="新宋体" w:hAnsi="新宋体" w:eastAsia="新宋体" w:cs="新宋体"/>
          <w:i w:val="0"/>
          <w:iCs w:val="0"/>
          <w:caps w:val="0"/>
          <w:color w:val="333333"/>
          <w:spacing w:val="0"/>
          <w:sz w:val="30"/>
          <w:szCs w:val="30"/>
          <w:shd w:val="clear" w:fill="FFFFFF"/>
          <w:lang w:val="en-US" w:eastAsia="zh-CN"/>
        </w:rPr>
        <w:t>24</w:t>
      </w:r>
      <w:r>
        <w:rPr>
          <w:rFonts w:hint="eastAsia" w:ascii="新宋体" w:hAnsi="新宋体" w:eastAsia="新宋体" w:cs="新宋体"/>
          <w:i w:val="0"/>
          <w:iCs w:val="0"/>
          <w:caps w:val="0"/>
          <w:color w:val="333333"/>
          <w:spacing w:val="0"/>
          <w:sz w:val="30"/>
          <w:szCs w:val="30"/>
          <w:shd w:val="clear" w:fill="FFFFFF"/>
        </w:rPr>
        <w:t>年</w:t>
      </w:r>
      <w:r>
        <w:rPr>
          <w:rFonts w:hint="eastAsia" w:ascii="新宋体" w:hAnsi="新宋体" w:eastAsia="新宋体" w:cs="新宋体"/>
          <w:i w:val="0"/>
          <w:iCs w:val="0"/>
          <w:caps w:val="0"/>
          <w:color w:val="333333"/>
          <w:spacing w:val="0"/>
          <w:sz w:val="30"/>
          <w:szCs w:val="30"/>
          <w:shd w:val="clear" w:fill="FFFFFF"/>
          <w:lang w:val="en-US" w:eastAsia="zh-CN"/>
        </w:rPr>
        <w:t>10</w:t>
      </w:r>
      <w:r>
        <w:rPr>
          <w:rFonts w:hint="eastAsia" w:ascii="新宋体" w:hAnsi="新宋体" w:eastAsia="新宋体" w:cs="新宋体"/>
          <w:i w:val="0"/>
          <w:iCs w:val="0"/>
          <w:caps w:val="0"/>
          <w:color w:val="333333"/>
          <w:spacing w:val="0"/>
          <w:sz w:val="30"/>
          <w:szCs w:val="30"/>
          <w:shd w:val="clear" w:fill="FFFFFF"/>
        </w:rPr>
        <w:t>月</w:t>
      </w:r>
      <w:r>
        <w:rPr>
          <w:rFonts w:hint="eastAsia" w:ascii="新宋体" w:hAnsi="新宋体" w:eastAsia="新宋体" w:cs="新宋体"/>
          <w:i w:val="0"/>
          <w:iCs w:val="0"/>
          <w:caps w:val="0"/>
          <w:color w:val="333333"/>
          <w:spacing w:val="0"/>
          <w:sz w:val="30"/>
          <w:szCs w:val="30"/>
          <w:shd w:val="clear" w:fill="FFFFFF"/>
          <w:lang w:val="en-US" w:eastAsia="zh-CN"/>
        </w:rPr>
        <w:t>26</w:t>
      </w:r>
      <w:r>
        <w:rPr>
          <w:rFonts w:hint="eastAsia" w:ascii="新宋体" w:hAnsi="新宋体" w:eastAsia="新宋体" w:cs="新宋体"/>
          <w:i w:val="0"/>
          <w:iCs w:val="0"/>
          <w:caps w:val="0"/>
          <w:color w:val="333333"/>
          <w:spacing w:val="0"/>
          <w:sz w:val="30"/>
          <w:szCs w:val="30"/>
          <w:shd w:val="clear" w:fill="FFFFFF"/>
        </w:rPr>
        <w:t>日</w:t>
      </w:r>
    </w:p>
    <w:p w14:paraId="59B624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mOGU0YjU1NWMyM2NjNjBjZDcwNDkxYWVjODE4Y2MifQ=="/>
  </w:docVars>
  <w:rsids>
    <w:rsidRoot w:val="1F5858F1"/>
    <w:rsid w:val="03994832"/>
    <w:rsid w:val="1F5858F1"/>
    <w:rsid w:val="2D174B88"/>
    <w:rsid w:val="38720AB9"/>
    <w:rsid w:val="39970C92"/>
    <w:rsid w:val="52971699"/>
    <w:rsid w:val="5D9A3658"/>
    <w:rsid w:val="67AF67C5"/>
    <w:rsid w:val="70592A87"/>
    <w:rsid w:val="72177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2948</Words>
  <Characters>2986</Characters>
  <Lines>0</Lines>
  <Paragraphs>0</Paragraphs>
  <TotalTime>8</TotalTime>
  <ScaleCrop>false</ScaleCrop>
  <LinksUpToDate>false</LinksUpToDate>
  <CharactersWithSpaces>3040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2023-04-12T07:34:00Z</dcterms:created>
  <dc:creator>Administrator</dc:creator>
  <cp:lastModifiedBy>天堂鸟</cp:lastModifiedBy>
  <dcterms:modified xsi:type="dcterms:W3CDTF">2024-12-17T07:21:42Z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0EA442E15BFE4ADF88545B0B47C43974_11</vt:lpwstr>
  </property>
</Properties>
</file>